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BAMBGebV</w:t>
      </w:r>
    </w:p>
    <w:p>
      <w:r>
        <w:rPr>
          <w:color w:val="555555"/>
          <w:sz w:val="18"/>
        </w:rPr>
        <w:t xml:space="preserve">BAM Besondere Gebührenverordnung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BAMBGebV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