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BAMBGebV — Inkrafttreten; Außerkrafttreten</w:t>
      </w:r>
    </w:p>
    <w:p>
      <w:r>
        <w:rPr>
          <w:color w:val="555555"/>
          <w:sz w:val="18"/>
        </w:rPr>
        <w:t xml:space="preserve">BAM Besondere Gebührenverordnung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Gleichzeitig tritt die Kostenverordnung für Nutzleistungen der Bundesanstalt für Materialforschung und -prüfung vom 17. Dezember 1970 (BGBl. I S. 1748), die zuletzt durch Artikel 1 der Verordnung vom 13. März 2018 (BGBl. I S. 373) geändert worden ist, außer Kraft.</w:t>
      </w:r>
    </w:p>
    <w:p>
      <w:r>
        <w:rPr>
          <w:color w:val="555555"/>
          <w:sz w:val="17"/>
        </w:rPr>
        <w:t xml:space="preserve">Zitiervorschlag: § 4 BAMBGebV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https://recht.nulegal.eu/gesetze/BAMBGebV/4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