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BAMBGebV — Höhe der Gebühren und Auslagen</w:t>
      </w:r>
    </w:p>
    <w:p>
      <w:r>
        <w:rPr>
          <w:color w:val="555555"/>
          <w:sz w:val="18"/>
        </w:rPr>
        <w:t xml:space="preserve">BAM Besondere Gebührenverordnung</w:t>
      </w:r>
    </w:p>
    <w:p>
      <w:r>
        <w:rPr>
          <w:color w:val="555555"/>
          <w:sz w:val="18"/>
        </w:rPr>
        <w:t xml:space="preserve">Stand: 02.12.2025 (konsolidierte Textfassung, kein amtliches Inkrafttretensdatum)</w:t>
      </w:r>
    </w:p>
    <w:p>
      <w:r>
        <w:t xml:space="preserve">(1) Für gebührenfähige Leistungen erhebt die Bundesanstalt für Materialforschung und -prüfung Fest- oder Zeitgebühren gemäß § 11 Nummer 1 und 2 des Bundesgebührengesetzes. Die Höhe der Gebühren richtet sich nach dem Gebührenverzeichnis der Anlage.</w:t>
      </w:r>
    </w:p>
    <w:p>
      <w:r>
        <w:t xml:space="preserve">(2) Neben den in § 12 Absatz 1 Satz 1 des Bundesgebührengesetzes genannten Auslagen werden Auslagen gesondert in der tatsächlich entstandenen Höhe erhoben für</w:t>
      </w:r>
    </w:p>
    <w:p>
      <w:pPr>
        <w:ind w:left="420"/>
      </w:pPr>
      <w:r>
        <w:t xml:space="preserve">1. die Beförderung von Prüfmitteln und Prüfobjekten,</w:t>
      </w:r>
    </w:p>
    <w:p>
      <w:pPr>
        <w:ind w:left="420"/>
      </w:pPr>
      <w:r>
        <w:t xml:space="preserve">2. außergewöhnliche Aufwendungen für Material, Energie, besondere Prüfanlagen, Mess- und Hilfseinrichtungen oder andere Vorkehrungen oder Hilfsmittel.</w:t>
      </w:r>
    </w:p>
    <w:p>
      <w:r>
        <w:t xml:space="preserve">(3) Die zu erhebenden Gebühren und Auslagen umfassen jeweils auch die Kosten für die Festsetzung der Gebühren und Auslagen.</w:t>
      </w:r>
    </w:p>
    <w:p>
      <w:r>
        <w:rPr>
          <w:color w:val="555555"/>
          <w:sz w:val="17"/>
        </w:rPr>
        <w:t xml:space="preserve">Zitiervorschlag: § 2 BAMBGebV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https://recht.nulegal.eu/gesetze/BAMBGebV/2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