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BAKredWWSUBefÜV</w:t>
      </w:r>
    </w:p>
    <w:p>
      <w:r>
        <w:rPr>
          <w:color w:val="555555"/>
          <w:sz w:val="18"/>
        </w:rPr>
        <w:t xml:space="preserve">Verordnung zur Übertragung der Befugnis zum Erlaß von Rechtsverordnungen auf das Bundesaufsichtsamt für das Kreditwesen nach dem 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BAKredWWSUBefÜV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https://recht.nulegal.eu/gesetze/BAKredWWSUBef%C3%9CV/3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