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BAKredWWSUBefÜV</w:t>
      </w:r>
    </w:p>
    <w:p>
      <w:r>
        <w:rPr>
          <w:color w:val="555555"/>
          <w:sz w:val="18"/>
        </w:rPr>
        <w:t xml:space="preserve">Verordnung zur Übertragung der Befugnis zum Erlaß von Rechtsverordnungen auf das Bundesaufsichtsamt für das Kreditwesen nach dem 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nach § 14 des Dritten Überleitungsgesetzes in Verbindung mit Artikel 36 des in der Eingangsformel genannten Gesetzes auch im Land Berlin.</w:t>
      </w:r>
    </w:p>
    <w:p>
      <w:r>
        <w:t xml:space="preserve">(2) Diese Verordnung gilt ferner nach Artikel 3 Satz 1 in Verbindung mit Anlage I Artikel 8 § 5 des in der Eingangsformel genannten Vertrages in der Deutschen Demokratischen Republik einschließlich Berlin (Ost).</w:t>
      </w:r>
    </w:p>
    <w:p>
      <w:r>
        <w:rPr>
          <w:color w:val="555555"/>
          <w:sz w:val="17"/>
        </w:rPr>
        <w:t xml:space="preserve">Zitiervorschlag: § 2 BAKredWWSUBefÜV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https://recht.nulegal.eu/gesetze/BAKredWWSUBef%C3%9CV/2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