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BAIUDBwOWiZustV — Inkrafttreten, Außerkrafttreten</w:t>
      </w:r>
    </w:p>
    <w:p>
      <w:r>
        <w:rPr>
          <w:color w:val="555555"/>
          <w:sz w:val="18"/>
        </w:rPr>
        <w:t xml:space="preserve">Verordnung über die Zuständigkeit des Bundesamtes für Infrastruktur, Umweltschutz und Dienstleistungen der Bundeswehr für die Verfolgung und Ahndung von Ordnungswidrigkeiten</w:t>
      </w:r>
    </w:p>
    <w:p>
      <w:r>
        <w:rPr>
          <w:color w:val="555555"/>
          <w:sz w:val="18"/>
        </w:rPr>
        <w:t xml:space="preserve">Stand: 08.01.2022 (konsolidierte Textfassung, kein amtliches Inkrafttretensdatum)</w:t>
      </w:r>
    </w:p>
    <w:p>
      <w:r>
        <w:t xml:space="preserve">Diese Verordnung tritt am 1. Juli 2013 in Kraft. Gleichzeitig tritt die Verordnung über die Zuständigkeit des Bundesamtes für Wehrverwaltung und der Wehrbereichsverwaltungen für die Verfolgung und Ahndung von Ordnungswidrigkeiten nach dem Lebensmittel- und Futtermittelgesetzbuch und dem Tierschutzgesetz vom 12. September 2006 (BGBl. I S. 2135) außer Kraft.</w:t>
      </w:r>
    </w:p>
    <w:p>
      <w:r>
        <w:rPr>
          <w:color w:val="555555"/>
          <w:sz w:val="17"/>
        </w:rPr>
        <w:t xml:space="preserve">Zitiervorschlag: § 9 BAIUDBwOWiZustV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https://recht.nulegal.eu/gesetze/BAIUDBwOWiZustV/9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