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BAIUDBwOWiZustV — Zuständigkeit nach dem Tierische Nebenprodukte-Beseitigungsgesetz</w:t>
      </w:r>
    </w:p>
    <w:p>
      <w:r>
        <w:rPr>
          <w:color w:val="555555"/>
          <w:sz w:val="18"/>
        </w:rPr>
        <w:t xml:space="preserve">Verordnung über die Zuständigkeit des Bundesamtes für Infrastruktur, Umweltschutz und Dienstleistungen der Bundeswehr für die Verfolgung und Ahndung von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Zuständigkeit für die Verfolgung und Ahndung von Ordnungswidrigkeiten nach § 14 des Tierische Nebenprodukte-Beseitigungsgesetzes wird auf das Bundesamt für Infrastruktur, Umweltschutz und Dienstleistungen der Bundeswehr übertragen, soweit nach § 2 des Tierische Nebenprodukte-Beseitigungsgesetzes die Durchführung dieses Gesetzes im Bereich der Bundeswehr den zuständigen Dienststellen der Bundeswehr obliegt.</w:t>
      </w:r>
    </w:p>
    <w:p>
      <w:r>
        <w:rPr>
          <w:color w:val="555555"/>
          <w:sz w:val="17"/>
        </w:rPr>
        <w:t xml:space="preserve">Zitiervorschlag: § 4 BAIUDBwOWiZustV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https://recht.nulegal.eu/gesetze/BAIUDBwOWiZustV/4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