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BAHZVO (Nordrhein-Westfalen) — Inkrafttreten, Berichtspflicht</w:t>
      </w:r>
    </w:p>
    <w:p>
      <w:r>
        <w:rPr>
          <w:color w:val="555555"/>
          <w:sz w:val="18"/>
        </w:rPr>
        <w:t xml:space="preserve">Bildungsausländerhochschulzugangsverordnung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Die Landesregierung berichtet dem Landtag bis zum 31. Dezember 2022 und danach alle fünf Jahre über die Notwendigkeit des Fortbestehens dieser Rechtsverordnung.</w:t>
      </w:r>
    </w:p>
    <w:p>
      <w:r>
        <w:t xml:space="preserve">Die Ministerin</w:t>
      </w:r>
    </w:p>
    <w:p>
      <w:r>
        <w:t xml:space="preserve">für Innovation, Wissenschaft und Forschung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9 BAHZVO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https://recht.nulegal.eu/gesetze/BAHZVO/9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