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BAGebV</w:t>
      </w:r>
    </w:p>
    <w:p>
      <w:r>
        <w:rPr>
          <w:color w:val="555555"/>
          <w:sz w:val="18"/>
        </w:rPr>
        <w:t xml:space="preserve">Besondere-Ausgleichsregelung-Gebührenverordnung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63a Absatz 2 Satz 3 Nummer 4 des Erneuerbare-Energien-Gesetzes, der durch Artikel 1 Nummer 20 des Gesetzes vom 17. August 2012 (BGBl. I S. 1754) geändert worden ist, in Verbindung mit dem 2. Abschnitt des Verwaltungskostengesetzes vom 23. Juni 1970 (BGBl. I S. 821) verordnet das Bundesministerium für Umwelt, Naturschutz und Reaktorsicherheit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