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BAGebV — Gebühren und Auslagen</w:t>
      </w:r>
    </w:p>
    <w:p>
      <w:r>
        <w:rPr>
          <w:color w:val="555555"/>
          <w:sz w:val="18"/>
        </w:rPr>
        <w:t xml:space="preserve">Besondere-Ausgleichsregelung-Gebührenverordnung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Das Bundesamt für Wirtschaft und Ausfuhrkontrolle erhebt für Amtshandlungen im Zusammenhang mit der Begrenzung der EEG-Umlage nach den §§ 63 bis 67 und § 103 des Erneuerbare-Energien-Gesetzes Gebühren und Auslagen. Die gebührenpflichtigen Tatbestände und die Gebührensätze ergeben sich aus dem Gebührenverzeichnis der Anlage zu dieser Verordnung.</w:t>
      </w:r>
    </w:p>
    <w:p>
      <w:r>
        <w:t xml:space="preserve">(2) Hinsichtlich der Auslagen ist § 10 des Verwaltungskostengesetzes mit Ausnahme des Absatzes 1 Nummer 1 anzuwenden.</w:t>
      </w:r>
    </w:p>
    <w:p>
      <w:r>
        <w:rPr>
          <w:color w:val="555555"/>
          <w:sz w:val="17"/>
        </w:rPr>
        <w:t xml:space="preserve">Zitiervorschlag: § 1 BAGebV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