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III. BAGBeihZustAnO</w:t>
      </w:r>
    </w:p>
    <w:p>
      <w:r>
        <w:rPr>
          <w:color w:val="555555"/>
          <w:sz w:val="18"/>
        </w:rPr>
        <w:t xml:space="preserve">Anordnung zur Übertragung von Zuständigkeiten für den Erlass von Widerspruchsbescheiden und die Vertretung des Dienstherrn bei Klagen von Beschäftigten des Bundesarbeitsgerichts in Angelegenheiten nach der Bundesbeihilfeverordnung</w:t>
      </w:r>
    </w:p>
    <w:p>
      <w:r>
        <w:rPr>
          <w:color w:val="555555"/>
          <w:sz w:val="18"/>
        </w:rPr>
        <w:t xml:space="preserve">Historische Fassung: Stand 10.06.2019 bis 12.07.2022. Dies ist nicht die aktuelle Fassung.</w:t>
      </w:r>
    </w:p>
    <w:p>
      <w:r>
        <w:t xml:space="preserve">Diese Anordnung wird am 1. Dezember 2010 wirksam. Die Abschnitte I und II sind auch anzuwenden auf bereits laufende Verfahren der Beschäftigten des Bundesarbeitsgerichts.</w:t>
      </w:r>
    </w:p>
    <w:p>
      <w:r>
        <w:rPr>
          <w:color w:val="555555"/>
          <w:sz w:val="17"/>
        </w:rPr>
        <w:t xml:space="preserve">Zitiervorschlag: III. BAGBeihZustAnO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https://recht.nulegal.eu/gesetze/BAGBeihZustAnO/iii.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