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II. BAGBeihZustAnO</w:t>
      </w:r>
    </w:p>
    <w:p>
      <w:r>
        <w:rPr>
          <w:color w:val="555555"/>
          <w:sz w:val="18"/>
        </w:rPr>
        <w:t xml:space="preserve">Anordnung zur Übertragung von Zuständigkeiten für den Erlass von Widerspruchsbescheiden und die Vertretung des Dienstherrn bei Klagen von Beschäftigten des Bundesarbeitsgerichts in Angelegenheiten nach der Bundesbeihilfeverordnung</w:t>
      </w:r>
    </w:p>
    <w:p>
      <w:r>
        <w:rPr>
          <w:color w:val="555555"/>
          <w:sz w:val="18"/>
        </w:rPr>
        <w:t xml:space="preserve">Historische Fassung: Stand 10.06.2019 bis 12.07.2022. Dies ist nicht die aktuelle Fassung.</w:t>
      </w:r>
    </w:p>
    <w:p>
      <w:r>
        <w:t xml:space="preserve">Nach § 127 Absatz 3 Satz 1 des Bundesbeamtengesetzes vom 5. Februar 2009 (BGBl. I S. 160) in Verbindung mit § 46 des Deutschen Richtergesetzes in der Fassung der Bekanntmachung vom 19. April 1972 (BGBl. I S. 713), das zuletzt durch Artikel 9 des Gesetzes vom 5. Februar 2009 (BGBl. I S. 160) geändert worden ist, wird der Bundesnetzagentur für Elektrizität, Gas, Telekommunikation, Post und Eisenbahnen mit Einverständnis des Bundesministeriums für Wirtschaft und Technologie die Vertretung des Dienstherrn bei verwaltungsgerichtlichen Verfahren der Beschäftigten des Bundesarbeitsgerichts in Angelegenheiten nach der Bundesbeihilfeverordnung übertragen, soweit die Bundesnetzagentur nach dieser Anordnung zur Entscheidung über den Widerspruch befugt war. Das Bundesministerium für Arbeit und Soziales behält sich vor, im Einzelfall die Prozessvertretung selbst wahrzunehmen.</w:t>
      </w:r>
    </w:p>
    <w:p>
      <w:r>
        <w:rPr>
          <w:color w:val="555555"/>
          <w:sz w:val="17"/>
        </w:rPr>
        <w:t xml:space="preserve">Zitiervorschlag: II. BAGBeihZustAnO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https://recht.nulegal.eu/gesetze/BAGBeihZustAnO/ii.</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II. BAGBeihZustAnO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