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BAG-JH (Nordrhein-Westfalen)</w:t>
      </w:r>
    </w:p>
    <w:p>
      <w:r>
        <w:rPr>
          <w:color w:val="555555"/>
          <w:sz w:val="18"/>
        </w:rPr>
        <w:t xml:space="preserve">Belastungsausgleichsgesetz Jugendhilfe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November 2012</w:t>
      </w:r>
    </w:p>
    <w:p>
      <w:r>
        <w:t xml:space="preserve">(Artikel 1 des Gesetzes zur Regelung des Kostenausgleichs für Aufgaben der öffentlichen Jugendhilfe</w:t>
      </w:r>
    </w:p>
    <w:p>
      <w:r>
        <w:t xml:space="preserve">(Belastungsausgleichsgesetz Jugendhilfe - BAG-JH) vom 13. November 2012 (GV. NRW. S. 510))</w:t>
      </w:r>
    </w:p>
    <w:p>
      <w:r>
        <w:rPr>
          <w:color w:val="555555"/>
          <w:sz w:val="17"/>
        </w:rPr>
        <w:t xml:space="preserve">Zitiervorschlag: Volltext BAG-JH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https://recht.nulegal.eu/gesetze/BAG-JH/volltext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