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BAGÜV — Inkrafttreten</w:t>
      </w:r>
    </w:p>
    <w:p>
      <w:r>
        <w:rPr>
          <w:color w:val="555555"/>
          <w:sz w:val="18"/>
        </w:rPr>
        <w:t xml:space="preserve">BALM-Übertragungsverordnung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BAGÜV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https://recht.nulegal.eu/gesetze/BAG%C3%9CV/2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