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BAGÜV — Befugnisübertragung</w:t>
      </w:r>
    </w:p>
    <w:p>
      <w:r>
        <w:rPr>
          <w:color w:val="555555"/>
          <w:sz w:val="18"/>
        </w:rPr>
        <w:t xml:space="preserve">BALM-Übertragungsverordnung</w:t>
      </w:r>
    </w:p>
    <w:p>
      <w:r>
        <w:rPr>
          <w:color w:val="555555"/>
          <w:sz w:val="18"/>
        </w:rPr>
        <w:t xml:space="preserve">Stand: 09.03.2023 (konsolidierte Textfassung, kein amtliches Inkrafttretensdatum)</w:t>
      </w:r>
    </w:p>
    <w:p>
      <w:r>
        <w:t xml:space="preserve">Dem Bundesamt für Logistik und Mobilität wird die Befugnis übertragen,</w:t>
      </w:r>
    </w:p>
    <w:p>
      <w:pPr>
        <w:ind w:left="420"/>
      </w:pPr>
      <w:r>
        <w:t xml:space="preserve">1. Rechtsverordnungen nach § 3a Absatz 2 Satz 1 des Bundesfernstraßenmautgesetzes,</w:t>
      </w:r>
    </w:p>
    <w:p>
      <w:pPr>
        <w:ind w:left="420"/>
      </w:pPr>
      <w:r>
        <w:t xml:space="preserve">2. Rechtsverordnungen nach § 4h Satz 1 des Bundesfernstraßenmautgesetzes und</w:t>
      </w:r>
    </w:p>
    <w:p>
      <w:pPr>
        <w:ind w:left="420"/>
      </w:pPr>
      <w:r>
        <w:t xml:space="preserve">3. Rechtsverordnungen nach § 4i Satz 1 des Bundesfernstraßenmautgesetzes</w:t>
      </w:r>
    </w:p>
    <w:p>
      <w:r>
        <w:t xml:space="preserve">zu erlassen.</w:t>
      </w:r>
    </w:p>
    <w:p>
      <w:r>
        <w:rPr>
          <w:color w:val="555555"/>
          <w:sz w:val="17"/>
        </w:rPr>
        <w:t xml:space="preserve">Zitiervorschlag: § 1 BAGÜV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https://recht.nulegal.eu/gesetze/BAG%C3%9CV/1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