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BAFzAZustAnO</w:t>
      </w:r>
    </w:p>
    <w:p>
      <w:r>
        <w:rPr>
          <w:color w:val="555555"/>
          <w:sz w:val="18"/>
        </w:rPr>
        <w:t xml:space="preserve">Anordnung zur Übertragung beamten- und haushaltsrechtlicher Zuständigkeiten des Bundesministeriums für Familie, Senioren, Frauen und Jugend auf das Bundesamt für Familie und zivilgesellschaftliche Aufgaben</w:t>
      </w:r>
    </w:p>
    <w:p>
      <w:r>
        <w:rPr>
          <w:color w:val="555555"/>
          <w:sz w:val="18"/>
        </w:rPr>
        <w:t xml:space="preserve">Historische Fassung: Stand 10.06.2019 bis 18.04.2024. Dies ist nicht die aktuelle Fassung.</w:t>
      </w:r>
    </w:p>
    <w:p>
      <w:r>
        <w:t xml:space="preserve">Nach</w:t>
      </w:r>
    </w:p>
    <w:p>
      <w:pPr>
        <w:ind w:left="420"/>
      </w:pPr>
      <w:r>
        <w:t xml:space="preserve">– § 126 Absatz 3 Nummer 2 Satz 2 des Beamtenrechtsrahmengesetzes, der durch Artikel 2 Nummer 4 Buchstabe b des Gesetzes vom 21. Juni 2002 (BGBl. I S. 2138) geändert worden ist,</w:t>
      </w:r>
    </w:p>
    <w:p>
      <w:pPr>
        <w:ind w:left="420"/>
      </w:pPr>
      <w:r>
        <w:t xml:space="preserve">– § 9 Absatz 1 der Bundesnebentätigkeitsverordnung in der Fassung der Bekanntmachung vom 12. November 1987 (BGBl. I S. 2376),</w:t>
      </w:r>
    </w:p>
    <w:p>
      <w:pPr>
        <w:ind w:left="420"/>
      </w:pPr>
      <w:r>
        <w:t xml:space="preserve">– § 6 Satz 2 der Dienstjubiläumsverordnung vom 18. Dezember 2014 (BGBl. I S. 2267),</w:t>
      </w:r>
    </w:p>
    <w:p>
      <w:pPr>
        <w:ind w:left="420"/>
      </w:pPr>
      <w:r>
        <w:t xml:space="preserve">– § 16 Satz 2 der Arbeitszeitverordnung vom 23. Februar 2006 (BGBl. I S. 427),</w:t>
      </w:r>
    </w:p>
    <w:p>
      <w:pPr>
        <w:ind w:left="420"/>
      </w:pPr>
      <w:r>
        <w:t xml:space="preserve">– § 66 Satz 1, § 71 Absatz 1 Satz 3, § 99 Absatz 5 Satz 2, § 105 Absatz 3 Satz 2, § 126 Absatz 3 Satz 2 und 3 sowie nach § 127 Absatz 3 Satz 1 des Bundesbeamtengesetzes vom 5. Februar 2009 (BGBl. I S. 160),</w:t>
      </w:r>
    </w:p>
    <w:p>
      <w:pPr>
        <w:ind w:left="420"/>
      </w:pPr>
      <w:r>
        <w:t xml:space="preserve">– § 8 Absatz 1 Satz 2, § 27 Absatz 3 Satz 8 und § 46 Absatz 1 Satz 3 der Bundeslaufbahnverordnung in der Fassung vom 12. Februar 2009 (BGBl. I S. 284),</w:t>
      </w:r>
    </w:p>
    <w:p>
      <w:pPr>
        <w:ind w:left="420"/>
      </w:pPr>
      <w:r>
        <w:t xml:space="preserve">– Artikel 1 Absatz 1 Satz 2 der Anordnung des Bundespräsidenten über die Ernennung und Entlassung der Beamtinnen, Beamten, Richterinnen und Richter des Bundes vom 23. Juni 2004 (BGBl. I S. 1286),</w:t>
      </w:r>
    </w:p>
    <w:p>
      <w:pPr>
        <w:ind w:left="420"/>
      </w:pPr>
      <w:r>
        <w:t xml:space="preserve">– § 35 Absatz 3 Satz 2, § 38 Absatz 6 Satz 2, § 44 Absatz 2 Satz 1 und § 45 Absatz 3 Satz 2 des Beamtenversorgungsgesetzes in der Fassung der Bekanntmachung vom 24. Februar 2010 (BGBl. I S. 150),</w:t>
      </w:r>
    </w:p>
    <w:p>
      <w:pPr>
        <w:ind w:left="420"/>
      </w:pPr>
      <w:r>
        <w:t xml:space="preserve">– § 33 Absatz 5, § 34 Absatz 2 Satz 2, § 42 Absatz 1 Satz 2 und § 84 Satz 2 des Bundesdisziplinargesetzes vom 9. Juli 2001 (BGBl. I S. 1510),</w:t>
      </w:r>
    </w:p>
    <w:p>
      <w:pPr>
        <w:ind w:left="420"/>
      </w:pPr>
      <w:r>
        <w:t xml:space="preserve">– § 12 Absatz 2 Satz 3, § 15 Absatz 2 Satz 2 und § 28 Absatz 2 Satz 4 des Bundesbesoldungsgesetzes in der Fassung der Bekanntmachung vom 19. Juni 2009 (BGBl. I S. 1434), von denen § 28 Absatz 2 Satz 4 durch Artikel 6 Nummer 2 des Gesetzes vom 5. Januar 2017 (BGBl. I S. 17) geändert worden ist,</w:t>
      </w:r>
    </w:p>
    <w:p>
      <w:pPr>
        <w:ind w:left="420"/>
      </w:pPr>
      <w:r>
        <w:t xml:space="preserve">– § 1 Absatz 2 der Auslandreisekostenverordnung in der Fassung vom 21. Mai 1991 (BGBl. I S. 1140),</w:t>
      </w:r>
    </w:p>
    <w:p>
      <w:pPr>
        <w:ind w:left="420"/>
      </w:pPr>
      <w:r>
        <w:t xml:space="preserve">– § 4 Absatz 2 Nummer 2 des Bundesumzugskostengesetzes in der Fassung der Bekanntmachung vom 11. Dezember 1990 (BGBl. I S. 2682),</w:t>
      </w:r>
    </w:p>
    <w:p>
      <w:pPr>
        <w:ind w:left="420"/>
      </w:pPr>
      <w:r>
        <w:t xml:space="preserve">– § 9 Absatz 2 des Bundesreisekostengesetzes vom 26. Mai 2005 (BGBl. I S. 1418),</w:t>
      </w:r>
    </w:p>
    <w:p>
      <w:pPr>
        <w:ind w:left="420"/>
      </w:pPr>
      <w:r>
        <w:t xml:space="preserve">– § 57 Satz 2, § 58 Absatz 1 Satz 2 und § 59 Absatz 1 Satz 2 der Bundeshaushaltsordnung vom 19. August 1969 (BGBl. I S. 1284), die durch Artikel 1 Nummer 8 des Gesetzes vom 22. September 1994 (BGBl. I S. 2605) geändert worden sind,</w:t>
      </w:r>
    </w:p>
    <w:p>
      <w:pPr>
        <w:ind w:left="420"/>
      </w:pPr>
      <w:r>
        <w:t xml:space="preserve">– Nummer 3 Satz 2 und Nummer 5 Satz 1 zu § 63 der Allgemeinen Verwaltungsvorschriften zur Bundeshaushaltsordnung vom 14. März 2001 (GMBl S. 307), von denen Nummer 5 Satz 1 durch Abschnitt I Nummer 8 der allgemeinen Verwaltungsvorschrift vom 20. Dezember 2013 (GMBl 2014, S. 33) neu gefasst worden ist,</w:t>
      </w:r>
    </w:p>
    <w:p>
      <w:pPr>
        <w:ind w:left="420"/>
      </w:pPr>
      <w:r>
        <w:t xml:space="preserve">– Abschnitt VI Nummer 13 Satz 2 der Richtlinien des Bundesministeriums der Finanzen für Billigkeitszuwendungen bei Sachschäden, die im Dienst entstanden sind, vom 10. Dezember 1964 (GMBl 1965 S. 395),</w:t>
      </w:r>
    </w:p>
    <w:p>
      <w:pPr>
        <w:ind w:left="420"/>
      </w:pPr>
      <w:r>
        <w:t xml:space="preserve">– Nummer 5 Absatz 1 zweite Alternative der Vorschussrichtlinien des Bundesministeriums des Innern vom 28. November 1975 (GMBl S. 829)</w:t>
      </w:r>
    </w:p>
    <w:p>
      <w:r>
        <w:t xml:space="preserve">ordnet das Bundesministerium für Familie, Senioren, Frauen und Jugend (Bundesministerium) an:</w:t>
      </w:r>
    </w:p>
    <w:p>
      <w:r>
        <w:rPr>
          <w:color w:val="555555"/>
          <w:sz w:val="17"/>
        </w:rPr>
        <w:t xml:space="preserve">Zitiervorschlag: Eingangsformel BAFzAZustAnO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https://recht.nulegal.eu/gesetze/BAFzAZustAnO/eingangsformel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