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BAFzAZustAnO — Übertragung von Zuständigkeiten nach dem Bundesbesoldungsgesetz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Dem Bundesamt werden übertragen</w:t>
      </w:r>
    </w:p>
    <w:p>
      <w:pPr>
        <w:ind w:left="420"/>
      </w:pPr>
      <w:r>
        <w:t xml:space="preserve">1. die Befugnis, ohne Einholen der Zustimmung des Bundesministeriums von der Rückforderung zu viel gezahlter Bezüge aus Billigkeitsgründen abzusehen, wenn der Gesamtbetrag der Überzahlungen 1 500 Euro nicht übersteigt (§ 12 Absatz 2 Satz 3 erste Alternative des Bundesbesoldungsgesetzes),</w:t>
      </w:r>
    </w:p>
    <w:p>
      <w:pPr>
        <w:ind w:left="420"/>
      </w:pPr>
      <w:r>
        <w:t xml:space="preserve">2. die Entscheidung über die Anweisung eines dienstlichen Wohnsitzes nach § 15 Absatz 2 Satz 1 des Bundesbesoldungsgesetzes.</w:t>
      </w:r>
    </w:p>
    <w:p>
      <w:r>
        <w:rPr>
          <w:color w:val="555555"/>
          <w:sz w:val="17"/>
        </w:rPr>
        <w:t xml:space="preserve">Zitiervorschlag: § 4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