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BAFzAZustAnO — Übertragung von Zuständigkeiten nach der Bundeslaufbahnverordnung</w:t>
      </w:r>
    </w:p>
    <w:p>
      <w:r>
        <w:rPr>
          <w:color w:val="555555"/>
          <w:sz w:val="18"/>
        </w:rPr>
        <w:t xml:space="preserve">Anordnung zur Übertragung beamten- und haushaltsrechtlicher Zuständigkeiten des Bundesministeriums für Familie, Senioren, Frauen und Jugend auf das Bundesamt für Familie und zivilgesellschaftliche Aufgaben</w:t>
      </w:r>
    </w:p>
    <w:p>
      <w:r>
        <w:rPr>
          <w:color w:val="555555"/>
          <w:sz w:val="18"/>
        </w:rPr>
        <w:t xml:space="preserve">Historische Fassung: Stand 10.06.2019 bis 18.04.2024. Dies ist nicht die aktuelle Fassung.</w:t>
      </w:r>
    </w:p>
    <w:p>
      <w:r>
        <w:t xml:space="preserve">Dem Bundesamt werden übertragen</w:t>
      </w:r>
    </w:p>
    <w:p>
      <w:pPr>
        <w:ind w:left="420"/>
      </w:pPr>
      <w:r>
        <w:t xml:space="preserve">1. die Zuständigkeit für die Anerkennung der Laufbahnbefähigung (§ 8 Absatz 1 Satz 1 der Bundeslaufbahnverordnung),</w:t>
      </w:r>
    </w:p>
    <w:p>
      <w:pPr>
        <w:ind w:left="420"/>
      </w:pPr>
      <w:r>
        <w:t xml:space="preserve">2. die Zuständigkeit für die Bestimmung der Auswahlkommissionen (§ 27 Absatz 3 Satz 1 der Bundeslaufbahnverordnung),</w:t>
      </w:r>
    </w:p>
    <w:p>
      <w:pPr>
        <w:ind w:left="420"/>
      </w:pPr>
      <w:r>
        <w:t xml:space="preserve">3. die Zuständigkeit für die Entscheidung über die Gestaltung der Personalentwicklungskonzepte (§ 46 Absatz 1 Satz 2 der Bundeslaufbahnverordnung).</w:t>
      </w:r>
    </w:p>
    <w:p>
      <w:r>
        <w:rPr>
          <w:color w:val="555555"/>
          <w:sz w:val="17"/>
        </w:rPr>
        <w:t xml:space="preserve">Zitiervorschlag: § 3 BAFzAZustAnO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https://recht.nulegal.eu/gesetze/BAFzAZustAnO/3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