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BAFzAZustAnO — Inkrafttreten, Außerkrafttreten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Diese Anordnung tritt am Tag nach der Veröffentlichung im Bundesgesetzblatt in Kraft. Gleichzeitig treten außer Kraft:</w:t>
      </w:r>
    </w:p>
    <w:p>
      <w:pPr>
        <w:ind w:left="420"/>
      </w:pPr>
      <w:r>
        <w:t xml:space="preserve">1. die Allgemeine Anordnung zur Übertragung von Zuständigkeiten für den Erlass von Widerspruchsbescheiden aus dem Beamtenverhältnis im Geschäftsbereich des Bundesministeriums für Familie, Senioren, Frauen und Jugend vom 31. Januar 2005 (BGBl. I S. 252),</w:t>
      </w:r>
    </w:p>
    <w:p>
      <w:pPr>
        <w:ind w:left="420"/>
      </w:pPr>
      <w:r>
        <w:t xml:space="preserve">2. die Allgemeine Anordnung über die Ernennung und Entlassung von Beamten und Beamtinnen, über die Übertragung von Befugnissen auf dem Gebiet des Beamten- und Laufbahnrechts einschließlich beamtenrechtlicher Versorgung, des Besoldungs-, Tarif- und Haushaltsrechts sowie sonstiger Regelungen im Geschäftsbereich des Bundesministeriums für Familie, Senioren, Frauen und Jugend vom 5. Dezember 2012 sowie</w:t>
      </w:r>
    </w:p>
    <w:p>
      <w:pPr>
        <w:ind w:left="420"/>
      </w:pPr>
      <w:r>
        <w:t xml:space="preserve">3. die Allgemeine Anordnung zur Durchführung des Bundesdisziplinargesetzes im Geschäftsbereich des Bundesministeriums für Familie, Senioren, Frauen und Jugend vom 30. April 2013 (BGBl. I S. 1119).</w:t>
      </w:r>
    </w:p>
    <w:p>
      <w:r>
        <w:rPr>
          <w:color w:val="555555"/>
          <w:sz w:val="17"/>
        </w:rPr>
        <w:t xml:space="preserve">Zitiervorschlag: § 12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