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BAFzAZustAnO — Vorbehaltsklausel</w:t>
      </w:r>
    </w:p>
    <w:p>
      <w:r>
        <w:rPr>
          <w:color w:val="555555"/>
          <w:sz w:val="18"/>
        </w:rPr>
        <w:t xml:space="preserve">Anordnung zur Übertragung beamten- und haushaltsrechtlicher Zuständigkeiten des Bundesministeriums für Familie, Senioren, Frauen und Jugend auf das Bundesamt für Familie und zivilgesellschaftliche Aufgaben</w:t>
      </w:r>
    </w:p>
    <w:p>
      <w:r>
        <w:rPr>
          <w:color w:val="555555"/>
          <w:sz w:val="18"/>
        </w:rPr>
        <w:t xml:space="preserve">Historische Fassung: Stand 10.06.2019 bis 18.04.2024. Dies ist nicht die aktuelle Fassung.</w:t>
      </w:r>
    </w:p>
    <w:p>
      <w:r>
        <w:t xml:space="preserve">(1) Das Bundesministerium behält sich vor, im Einzelfall die Befugnisse nach den §§ 1 bis 6 und 8 bis 10 selbst auszuüben.</w:t>
      </w:r>
    </w:p>
    <w:p>
      <w:r>
        <w:t xml:space="preserve">(2) Zweifelsfälle und Fälle von grundsätzlicher Bedeutung sind dem Bundesministerium zur Entscheidung vorzulegen.</w:t>
      </w:r>
    </w:p>
    <w:p>
      <w:r>
        <w:rPr>
          <w:color w:val="555555"/>
          <w:sz w:val="17"/>
        </w:rPr>
        <w:t xml:space="preserve">Zitiervorschlag: § 11 BAFzAZustAnO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https://recht.nulegal.eu/gesetze/BAFzAZustAnO/11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