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BAFzAZustAnO — Übertragung von Zuständigkeiten nach anderen Vorschriften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(1) Dem Bundesamt werden übertragen</w:t>
      </w:r>
    </w:p>
    <w:p>
      <w:pPr>
        <w:ind w:left="420"/>
      </w:pPr>
      <w:r>
        <w:t xml:space="preserve">1. die Entscheidung über die Erteilung von Genehmigungen für die Inanspruchnahme von Einrichtungen, Personal oder Material des Dienstherrn bei der Ausübung einer Nebentätigkeit (§ 9 Absatz 1 erste Alternative der Bundesnebentätigkeitsverordnung),</w:t>
      </w:r>
    </w:p>
    <w:p>
      <w:pPr>
        <w:ind w:left="420"/>
      </w:pPr>
      <w:r>
        <w:t xml:space="preserve">2. die Zuständigkeit für die Gewährung von Jubiläumszuwendungen an Beamtinnen und Beamte der Besoldungsgruppen A 2 bis A 16 (§ 6 Satz 1 der Dienstjubiläumsverordnung),</w:t>
      </w:r>
    </w:p>
    <w:p>
      <w:pPr>
        <w:ind w:left="420"/>
      </w:pPr>
      <w:r>
        <w:t xml:space="preserve">3. die Entscheidung über Zuwendungen bis zu einem Erstattungsbetrag von 1 533,88 Euro im Einzelfall (Abschnitt VI Nummer 13 Satz 1 der Richtlinien des Bundesministeriums der Finanzen für Billigkeitszuwendungen bei Sachschäden, die im Dienst entstanden sind),</w:t>
      </w:r>
    </w:p>
    <w:p>
      <w:pPr>
        <w:ind w:left="420"/>
      </w:pPr>
      <w:r>
        <w:t xml:space="preserve">4. die Entscheidung über Vorschussanträge (Nummer 5 Absatz 1 zweite Alternative der Vorschussrichtlinien).</w:t>
      </w:r>
    </w:p>
    <w:p>
      <w:r>
        <w:t xml:space="preserve">(2) Die Präsidentin oder der Präsidenten des Bundesamts wird ermächtigt,</w:t>
      </w:r>
    </w:p>
    <w:p>
      <w:pPr>
        <w:ind w:left="420"/>
      </w:pPr>
      <w:r>
        <w:t xml:space="preserve">1. Auslandsdienstreisen für die Beschäftigten des Bundesamts anzuordnen oder zu genehmigen (§ 1 Absatz 2 der Auslandsreisekostenverordnung),</w:t>
      </w:r>
    </w:p>
    <w:p>
      <w:pPr>
        <w:ind w:left="420"/>
      </w:pPr>
      <w:r>
        <w:t xml:space="preserve">2. Pauschvergütungen für regelmäßige oder gleichartige Dienstreisen zu gewähren (§ 9 Absatz 2 des Bundesreisekostengesetztes),</w:t>
      </w:r>
    </w:p>
    <w:p>
      <w:pPr>
        <w:ind w:left="420"/>
      </w:pPr>
      <w:r>
        <w:t xml:space="preserve">3. die Räumung einer bundeseigenen oder im Besetzungsrecht des Bundes stehenden Mietwohnung zu veranlassen (§ 4 Absatz 2 Nummer 2 des Bundesumzugskostengesetzes).</w:t>
      </w:r>
    </w:p>
    <w:p>
      <w:r>
        <w:rPr>
          <w:color w:val="555555"/>
          <w:sz w:val="17"/>
        </w:rPr>
        <w:t xml:space="preserve">Zitiervorschlag: § 10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