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BAFlSBAÜbnG</w:t>
      </w:r>
    </w:p>
    <w:p>
      <w:r>
        <w:rPr>
          <w:color w:val="555555"/>
          <w:sz w:val="18"/>
        </w:rPr>
        <w:t xml:space="preserve">Gesetz zur Übernahme der Beamten und Arbeitnehmer der Bundesanstalt für Flugsicherung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Personen, die die DFS Deutsche Flugsicherung GmbH von der Bundesanstalt für Flugsicherung übernommen hat und die als Bedienstete der Bundesanstalt für Flugsicherung Flugsicherungsaufgaben erfüllt haben, bedürfen keiner Erlaubnis im Sinne des § 4 Abs. 5 LuftVG in der Fassung des Luftverkehrsgesetzes vom 23. Juli 1992 (BGBl. I S. 1370). Dasselbe gilt für andere Personen, die bereits bis zum Inkrafttreten dieses Gesetzes mit der Wahrnehmung bestimmter Aufgaben aus dem Bereich der Flugsicherung betraut waren.</w:t>
      </w:r>
    </w:p>
    <w:p>
      <w:r>
        <w:rPr>
          <w:color w:val="555555"/>
          <w:sz w:val="17"/>
        </w:rPr>
        <w:t xml:space="preserve">Zitiervorschlag: § 3 BAFlSBAÜbnG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https://recht.nulegal.eu/gesetze/BAFlSBA%C3%9CbnG/3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