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BAFlSBAÜbnG</w:t>
      </w:r>
    </w:p>
    <w:p>
      <w:r>
        <w:rPr>
          <w:color w:val="555555"/>
          <w:sz w:val="18"/>
        </w:rPr>
        <w:t xml:space="preserve">Gesetz zur Übernahme der Beamten und Arbeitnehmer der Bundesanstalt für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 § 1 Abs. 1 bezeichneter Beamter des mittleren oder des gehobenen Dienstes des Luftfahrt-Bundesamtes kann bis zum 31. Dezember 1998 auf Antrag in den Ruhestand versetzt werden, wenn</w:t>
      </w:r>
    </w:p>
    <w:p>
      <w:pPr>
        <w:ind w:left="420"/>
      </w:pPr>
      <w:r>
        <w:t xml:space="preserve">1. sein Arbeitsplatz auf Grund einer Umstrukturierungsmaßnahme ersatzlos entfällt,</w:t>
      </w:r>
    </w:p>
    <w:p>
      <w:pPr>
        <w:ind w:left="420"/>
      </w:pPr>
      <w:r>
        <w:t xml:space="preserve">2. er das 56. Lebensjahr vollendet hat und</w:t>
      </w:r>
    </w:p>
    <w:p>
      <w:pPr>
        <w:ind w:left="420"/>
      </w:pPr>
      <w:r>
        <w:t xml:space="preserve">3. eine anderweitige Verwendung des Beamten in dem in § 31b des Luftverkehrsgesetzes bezeichneten Flugsicherungsunternehmen oder einer anderen Verwaltung nicht möglich oder nach allgemeinen beamtenrechtlichen Grundsätzen nicht zumutbar ist.</w:t>
      </w:r>
    </w:p>
    <w:p>
      <w:r>
        <w:t xml:space="preserve">(2) -</w:t>
      </w:r>
    </w:p>
    <w:p>
      <w:r>
        <w:t xml:space="preserve">(3) § 5 Abs. 3 des Beamtenversorgungsgesetzes findet keine Anwendung.</w:t>
      </w:r>
    </w:p>
    <w:p>
      <w:r>
        <w:t xml:space="preserve">(4) § 4 Abs. 1 Satz 1 des Bundesbesoldungsgesetzes gilt entsprechend.</w:t>
      </w:r>
    </w:p>
    <w:p>
      <w:r>
        <w:rPr>
          <w:color w:val="555555"/>
          <w:sz w:val="17"/>
        </w:rPr>
        <w:t xml:space="preserve">Zitiervorschlag: § 2a BAFlSBAÜbnG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https://recht.nulegal.eu/gesetze/BAFlSBA%C3%9CbnG/2a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