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1h BAFinBefugV</w:t>
      </w:r>
    </w:p>
    <w:p>
      <w:r>
        <w:rPr>
          <w:color w:val="555555"/>
          <w:sz w:val="18"/>
        </w:rPr>
        <w:t xml:space="preserve">Verordnung zur Übertragung von Befugnissen zum Erlass von Rechtsverordnungen auf die Bundesanstalt für Finanzdienstleistungsaufsicht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Die Bundesanstalt für Finanzdienstleistungsaufsicht wird ermächtigt, Rechtsverordnungen auf Grundlage des Geldwäschegesetzes zu erlassen</w:t>
      </w:r>
    </w:p>
    <w:p>
      <w:pPr>
        <w:ind w:left="420"/>
      </w:pPr>
      <w:r>
        <w:t xml:space="preserve">1. nach Maßgabe des § 51 Absatz 12 Satz 1,</w:t>
      </w:r>
    </w:p>
    <w:p>
      <w:pPr>
        <w:ind w:left="420"/>
      </w:pPr>
      <w:r>
        <w:t xml:space="preserve">2. nach Maßgabe des § 52 Absatz 7 Satz 3.</w:t>
      </w:r>
    </w:p>
    <w:p>
      <w:r>
        <w:rPr>
          <w:color w:val="555555"/>
          <w:sz w:val="17"/>
        </w:rPr>
        <w:t xml:space="preserve">Zitiervorschlag: § 1h BAFinBefugV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https://recht.nulegal.eu/gesetze/BAFinBefugV/1h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