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1g BAFinBefugV</w:t>
      </w:r>
    </w:p>
    <w:p>
      <w:r>
        <w:rPr>
          <w:color w:val="555555"/>
          <w:sz w:val="18"/>
        </w:rPr>
        <w:t xml:space="preserve">Verordnung zur Übertragung von Befugnissen zum Erlass von Rechtsverordnungen auf die Bundesanstalt für Finanzdienstleistungsaufsicht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Bundesanstalt für Finanzdienstleistungsaufsicht wird ermächtigt, Rechtsverordnungen auf Grundlage des Kryptomärkteaufsichtsgesetzes zu erlassen:</w:t>
      </w:r>
    </w:p>
    <w:p>
      <w:pPr>
        <w:ind w:left="420"/>
      </w:pPr>
      <w:r>
        <w:t xml:space="preserve">1. im Einvernehmen mit der Deutschen Bundesbank nach Maßgabe des § 21 Absatz 7 Satz 1,</w:t>
      </w:r>
    </w:p>
    <w:p>
      <w:pPr>
        <w:ind w:left="420"/>
      </w:pPr>
      <w:r>
        <w:t xml:space="preserve">2. im Einvernehmen mit der Deutschen Bundesbank nach Maßgabe des § 36 Absatz 2 Satz 1,</w:t>
      </w:r>
    </w:p>
    <w:p>
      <w:pPr>
        <w:ind w:left="420"/>
      </w:pPr>
      <w:r>
        <w:t xml:space="preserve">3. im Einvernehmen mit dem Bundesministerium der Justiz und der Deutschen Bundesbank nach Maßgabe des § 37 Absatz 6 Satz 1 und</w:t>
      </w:r>
    </w:p>
    <w:p>
      <w:pPr>
        <w:ind w:left="420"/>
      </w:pPr>
      <w:r>
        <w:t xml:space="preserve">4. im Einvernehmen mit dem Bundesministerium der Justiz und der Deutschen Bundesbank nach Maßgabe des § 40 Absatz 4 Satz 1, 2 und 3.</w:t>
      </w:r>
    </w:p>
    <w:p>
      <w:r>
        <w:rPr>
          <w:color w:val="555555"/>
          <w:sz w:val="17"/>
        </w:rPr>
        <w:t xml:space="preserve">Zitiervorschlag: § 1g BAFinBefugV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https://recht.nulegal.eu/gesetze/BAFinBefugV/1g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