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1f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30.01.2024 (konsolidierte Textfassung, kein amtliches Inkrafttretensdatum)</w:t>
      </w:r>
    </w:p>
    <w:p>
      <w:r>
        <w:t xml:space="preserve">Die Bundesanstalt für Finanzdienstleistungsaufsicht wird nach § 19 Absatz 5 des Zahlungskontengesetzes ermächtigt, eine Rechtsverordnung nach Maßgabe des § 19 Absatz 1 und 3 des Zahlungskontengesetzes im Einvernehmen mit dem Bundesministerium der Finanzen, dem Bundesministerium der Justiz und dem Bundesministerium für Umwelt, Naturschutz, nukleare Sicherheit und Verbraucherschutz zu erlassen.</w:t>
      </w:r>
    </w:p>
    <w:p>
      <w:r>
        <w:rPr>
          <w:color w:val="555555"/>
          <w:sz w:val="17"/>
        </w:rPr>
        <w:t xml:space="preserve">Zitiervorschlag: § 1f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