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BAFABGebV</w:t>
      </w:r>
    </w:p>
    <w:p>
      <w:r>
        <w:rPr>
          <w:color w:val="555555"/>
          <w:sz w:val="18"/>
        </w:rPr>
        <w:t xml:space="preserve">BAFA Besondere Gebührenverordnung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Das Bundesministerium für Wirtschaft und Energie verordnet auf Grund</w:t>
      </w:r>
    </w:p>
    <w:p>
      <w:pPr>
        <w:ind w:left="420"/>
      </w:pPr>
      <w:r>
        <w:t xml:space="preserve">– des § 22 Absatz 4 Satz 1 in Verbindung mit Absatz 1 Satz 2 des Bundesgebührengesetzes vom 7. August 2013 (BGBl. I S. 3154) sowie</w:t>
      </w:r>
    </w:p>
    <w:p>
      <w:pPr>
        <w:ind w:left="420"/>
      </w:pPr>
      <w:r>
        <w:t xml:space="preserve">– des § 31 Absatz 3 Satz 2 bis 8 der Gewerbeordnung in der Fassung der Bekanntmachung vom 22. Februar 1999 (BGBl. I S. 202), § 31 Absatz 3 Satz 2 zuletzt geändert durch Artikel 222 der Verordnung vom 19. Juni 2020 (BGBl. I S. 1328), im Einvernehmen mit dem Bundesministerium des Innern, für Bau und Heimat:</w:t>
      </w:r>
    </w:p>
    <w:p>
      <w:r>
        <w:rPr>
          <w:color w:val="555555"/>
          <w:sz w:val="17"/>
        </w:rPr>
        <w:t xml:space="preserve">Zitiervorschlag: Eingangsformel BAFABGebV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https://recht.nulegal.eu/gesetze/BAFABGebV/eingangsformel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