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BAFABGebV — Inkrafttreten; Außerkrafttreten</w:t>
      </w:r>
    </w:p>
    <w:p>
      <w:r>
        <w:rPr>
          <w:color w:val="555555"/>
          <w:sz w:val="18"/>
        </w:rPr>
        <w:t xml:space="preserve">BAFA Besondere 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 Gleichzeitig tritt die Besondere-Ausgleichsregelung-Gebührenverordnung vom 5. März 2013 (BGBl. I S. 448), die zuletzt durch Artikel 8 des Gesetzes vom 21. Dezember 2020 (BGBl. I S. 3138) geändert worden ist, außer Kraft.</w:t>
      </w:r>
    </w:p>
    <w:p>
      <w:r>
        <w:rPr>
          <w:color w:val="555555"/>
          <w:sz w:val="17"/>
        </w:rPr>
        <w:t xml:space="preserve">Zitiervorschlag: § 4 BAFABGebV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https://recht.nulegal.eu/gesetze/BAFABGebV/4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