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BAEV (Brandenburg) — Allgemeine Bestimmungen und Anerkennung</w:t>
      </w:r>
    </w:p>
    <w:p>
      <w:r>
        <w:rPr>
          <w:color w:val="555555"/>
          <w:sz w:val="18"/>
        </w:rPr>
        <w:t xml:space="preserve">Bildungsamtserwerbsverordnung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regelt das Nähere zum Erwerb der Befähigung für ein Amt nach Maßgabe des Abschnitts 3 des Brandenburgischen Lehrerbildungsgesetzes.</w:t>
      </w:r>
    </w:p>
    <w:p>
      <w:r>
        <w:t xml:space="preserve">(2) Qualifizierungs- und Prüfungsbehörde ist das für Schule zuständige Ministerium.</w:t>
      </w:r>
    </w:p>
    <w:p>
      <w:r>
        <w:t xml:space="preserve">(3) Das für Schule zuständige Ministerium trifft alle Entscheidungen über die Organisation, Durchführung, Anerkennungen, Zuordnungen sowie Feststellungen für den Erwerb der Befähigungen nach dieser Verordnung.</w:t>
      </w:r>
    </w:p>
    <w:p>
      <w:r>
        <w:rPr>
          <w:color w:val="555555"/>
          <w:sz w:val="17"/>
        </w:rPr>
        <w:t xml:space="preserve">Zitiervorschlag: § 1 BAEV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https://recht.nulegal.eu/gesetze/BAEV/1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