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BADV — Gegenseitigkeit</w:t>
      </w:r>
    </w:p>
    <w:p>
      <w:r>
        <w:rPr>
          <w:color w:val="555555"/>
          <w:sz w:val="18"/>
        </w:rPr>
        <w:t xml:space="preserve">Bodenabfertigungsdienst-Verordnung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Wird festgestellt, daß ein Drittland Dienstleister und Selbstabfertiger, deren Unternehmen mehrheitlich im Eigentum von Staatsangehörigen der Mitgliedstaaten der Europäischen Union ist, von Rechts wegen oder tatsächlich</w:t>
      </w:r>
    </w:p>
    <w:p>
      <w:pPr>
        <w:ind w:left="420"/>
      </w:pPr>
      <w:r>
        <w:t xml:space="preserve">1. nicht in einer dieser Verordnung vergleichbaren Weise oder</w:t>
      </w:r>
    </w:p>
    <w:p>
      <w:pPr>
        <w:ind w:left="420"/>
      </w:pPr>
      <w:r>
        <w:t xml:space="preserve">2. ungünstiger als inländische Dienstleister und Selbstabfertiger oder</w:t>
      </w:r>
    </w:p>
    <w:p>
      <w:pPr>
        <w:ind w:left="420"/>
      </w:pPr>
      <w:r>
        <w:t xml:space="preserve">3. ungünstiger als Dienstleister und Selbstabfertiger aus anderen Drittländern</w:t>
      </w:r>
    </w:p>
    <w:p>
      <w:r>
        <w:t xml:space="preserve">behandelt, ist das Bundesministerium für Digitales und Verkehr zu unterrichten.</w:t>
      </w:r>
    </w:p>
    <w:p>
      <w:r>
        <w:t xml:space="preserve">(2) Dieses kann, unbeschadet der internationalen Verpflichtungen der Europäischen Union, die Pflichten, die sich aus der Richtlinie 96/67/EG des Rates vom 15. Oktober 1996 gegenüber den Dienstleistern und Nutzern dieses Drittlandes ergeben, im Einklang mit dem Gemeinschaftsrecht ganz oder teilweise aussetzen.</w:t>
      </w:r>
    </w:p>
    <w:p>
      <w:r>
        <w:t xml:space="preserve">(3) Das Bundesministerium für Digitales und Verkehr unterrichtet die Kommission der Europäischen Gemeinschaften über Art und Ausmaß der Entscheidung.</w:t>
      </w:r>
    </w:p>
    <w:p>
      <w:r>
        <w:rPr>
          <w:color w:val="555555"/>
          <w:sz w:val="17"/>
        </w:rPr>
        <w:t xml:space="preserve">Zitiervorschlag: § 12 BADV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