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BABefugV 2008</w:t>
      </w:r>
    </w:p>
    <w:p>
      <w:r>
        <w:rPr>
          <w:color w:val="555555"/>
          <w:sz w:val="18"/>
        </w:rPr>
        <w:t xml:space="preserve">Verordnung zur Übertragung der Befugnis zum Erlass von Rechtsverordnungen nach dem Dritten Buch Sozialgesetzbuch auf den Vorstand der Bundesagentur für Arbeit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366a Abs. 4 Satz 5 in Verbindung mit Satz 3 des Dritten Buches Sozialgesetzbuch – Arbeitsförderung – (Artikel 1 des Gesetzes vom 24. März 1997, BGBl. I S. 594, 595), der durch Artikel 1 Nr. 6 des Gesetzes vom 22. Dezember 2007 (BGBl. I S. 3245) eingefügt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BABefugV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https://recht.nulegal.eu/gesetze/BABefugV%202008/eingangsformel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