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BABauRaumOG — Errichtung und Sitz des Bundesamtes für Bauwesen und Raumordnung</w:t>
      </w:r>
    </w:p>
    <w:p>
      <w:r>
        <w:rPr>
          <w:color w:val="555555"/>
          <w:sz w:val="18"/>
        </w:rPr>
        <w:t xml:space="preserve">Gesetz über die Errichtung eines Bundesamtes für Bauwesen und Raumordnung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Im Geschäftsbereich des Bundesministeriums für Wohnen, Stadtentwicklung und Bauwesen ist ein Bundesamt für Bauwesen und Raumordnung als Bundesoberbehörde errichtet.</w:t>
      </w:r>
    </w:p>
    <w:p>
      <w:r>
        <w:t xml:space="preserve">(2) Das Bundesamt für Bauwesen und Raumordnung hat seinen Sitz in Bonn.</w:t>
      </w:r>
    </w:p>
    <w:p>
      <w:r>
        <w:rPr>
          <w:color w:val="555555"/>
          <w:sz w:val="17"/>
        </w:rPr>
        <w:t xml:space="preserve">Zitiervorschlag: § 1 BABauRaumOG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https://recht.nulegal.eu/gesetze/BABauRaumOG/1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