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11 BABWismarG — Ergebnisse der landschaftspflegerischen Begleitplanung</w:t>
      </w:r>
    </w:p>
    <w:p>
      <w:r>
        <w:rPr>
          <w:color w:val="555555"/>
          <w:sz w:val="18"/>
        </w:rPr>
        <w:t xml:space="preserve">Gesetz über den Bau des Abschnitts Wismar West-Wismar Ost der Bundesautobahn A 20 Lübeck-Bundesgrenze (A 11)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erfaßter Erläuterungsbericht mit nicht darstellbaren Graphiken und Plänen, Fundstelle: Anlageband III zum BGBl. I Nr. 22 vom 19.4.1994 I 734, S. 283 - 378)</w:t>
      </w:r>
    </w:p>
    <w:p>
      <w:r>
        <w:rPr>
          <w:color w:val="555555"/>
          <w:sz w:val="17"/>
        </w:rPr>
        <w:t xml:space="preserve">Zitiervorschlag: Anlage 11 BABWismarG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https://recht.nulegal.eu/gesetze/BABWismarG/anlage-11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