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BABRiGeschwV 1978</w:t>
      </w:r>
    </w:p>
    <w:p>
      <w:r>
        <w:rPr>
          <w:color w:val="555555"/>
          <w:sz w:val="18"/>
        </w:rPr>
        <w:t xml:space="preserve">Autobahn-Richtgeschwindigkeits-V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Artikel 33 Abs. 2 des Kostenermächtigungs-Änderungsgesetzes vom 23. Juni 1970 (BGBl. I S. 805) auch im Land Berlin.</w:t>
      </w:r>
    </w:p>
    <w:p>
      <w:r>
        <w:rPr>
          <w:color w:val="555555"/>
          <w:sz w:val="17"/>
        </w:rPr>
        <w:t xml:space="preserve">Zitiervorschlag: § 3 BABRiGeschwV 1978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https://recht.nulegal.eu/gesetze/BABRiGeschwV%201978/3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