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BABG</w:t>
      </w:r>
    </w:p>
    <w:p>
      <w:r>
        <w:rPr>
          <w:color w:val="555555"/>
          <w:sz w:val="18"/>
        </w:rPr>
        <w:t xml:space="preserve">Gesetz über die vermögensrechtlichen Verhältnisse der Bundesautobahnen und sonstigen Bundesstraßen des Fernverkehrs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Dingliche Rechte an Grundstücken und sonstigen Sachen und Rechten, die unter § 1 oder § 3 fallen, bleiben bestehen.</w:t>
      </w:r>
    </w:p>
    <w:p>
      <w:r>
        <w:t xml:space="preserve">(2) Die Regelung der schuldrechtlichen Verbindlichkeiten des Unternehmens "Reichsautobahnen" bleibt vorbehalten.</w:t>
      </w:r>
    </w:p>
    <w:p>
      <w:r>
        <w:rPr>
          <w:color w:val="555555"/>
          <w:sz w:val="17"/>
        </w:rPr>
        <w:t xml:space="preserve">Zitiervorschlag: § 8 BABG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