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BABG</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(1) Mit Wirkung vom 1. April 1950 ist der Bund Träger der Straßenbaulast für die Bundesautobahnen und die Bundesstraßen.</w:t>
      </w:r>
    </w:p>
    <w:p>
      <w:r>
        <w:t xml:space="preserve">(2) Der Bund erhält die Einnahmen, die sich im Zusammenhang mit der Straßenbaulast, der Benutzung der Bundesfernstraßen und der Bewirtschaftung des bundeseigenen Vermögens ergeben.</w:t>
      </w:r>
    </w:p>
    <w:p>
      <w:r>
        <w:t xml:space="preserve">(3) Der Bund trägt die Zweckausgaben aus der Wahrnehmung der Straßenbaulast für die Bundesstraßen, soweit die Verwaltung nicht dem Bund zusteht, und die Zweckausgaben im Zusammenhang mit der Erhaltung und Bewirtschaftung des bundeseigenen Vermögens für die Bundesstraßen in seiner Baulast, soweit die Verwaltung nicht dem Bund zusteht. Er gilt den Ländern Zweckausgaben, die bei der Entwurfsbearbeitung und Bauaufsicht entstehen, durch die Zahlung einer Pauschale ab, die 5 vom Hundert der Baukosten beträgt.</w:t>
      </w:r>
    </w:p>
    <w:p>
      <w:r>
        <w:rPr>
          <w:color w:val="555555"/>
          <w:sz w:val="17"/>
        </w:rPr>
        <w:t xml:space="preserve">Zitiervorschlag: § 6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