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BABG</w:t>
      </w:r>
    </w:p>
    <w:p>
      <w:r>
        <w:rPr>
          <w:color w:val="555555"/>
          <w:sz w:val="18"/>
        </w:rPr>
        <w:t xml:space="preserve">Gesetz über die vermögensrechtlichen Verhältnisse der Bundesautobahnen und sonstigen Bundesstraßen des Fernverkehrs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Treuhandschaften der Länder an diesem Eigentum und diesen Vermögensrechten erlöschen mit dem Inkrafttreten dieses Gesetzes.</w:t>
      </w:r>
    </w:p>
    <w:p>
      <w:r>
        <w:rPr>
          <w:color w:val="555555"/>
          <w:sz w:val="17"/>
        </w:rPr>
        <w:t xml:space="preserve">Zitiervorschlag: § 2 BABG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https://recht.nulegal.eu/gesetze/BABG/2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