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BABG</w:t>
      </w:r>
    </w:p>
    <w:p>
      <w:r>
        <w:rPr>
          <w:color w:val="555555"/>
          <w:sz w:val="18"/>
        </w:rPr>
        <w:t xml:space="preserve">Gesetz über die vermögensrechtlichen Verhältnisse der Bundesautobahnen und sonstigen Bundesstraßen des Fernverkehrs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Tage nach seiner Verkündung in Kraft.</w:t>
      </w:r>
    </w:p>
    <w:p>
      <w:r>
        <w:rPr>
          <w:color w:val="555555"/>
          <w:sz w:val="17"/>
        </w:rPr>
        <w:t xml:space="preserve">Zitiervorschlag: § 11 BABG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