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BAB-KAbgV</w:t>
      </w:r>
    </w:p>
    <w:p>
      <w:r>
        <w:rPr>
          <w:color w:val="555555"/>
          <w:sz w:val="18"/>
        </w:rPr>
        <w:t xml:space="preserve">BAB-Konzessionsabgabenverordnung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3 Satz 2 des Bundesfernstraßengesetzes in der Fassung der Bekanntmachung vom 19. April 1994 (BGBl. I S. 854), geändert durch das Vierte Gesetz zur Änderung des Bundesfernstraßengesetzes vom 18. Juni 1997 (BGBl. I S. 1452), verordnet das Bundesministerium für Verkehr im Einvernehmen mit dem Bundesministerium der Finanzen:</w:t>
      </w:r>
    </w:p>
    <w:p>
      <w:r>
        <w:rPr>
          <w:color w:val="555555"/>
          <w:sz w:val="17"/>
        </w:rPr>
        <w:t xml:space="preserve">Zitiervorschlag: Eingangsformel BAB-KAbgV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https://recht.nulegal.eu/gesetze/BAB-KAbgV/eingangsformel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