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BAB-KAbgV — Inkrafttreten</w:t>
      </w:r>
    </w:p>
    <w:p>
      <w:r>
        <w:rPr>
          <w:color w:val="555555"/>
          <w:sz w:val="18"/>
        </w:rPr>
        <w:t xml:space="preserve">BAB-Konzessionsabgabenverordnung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ersten Tage des auf die Verkündung folgenden Kalendervierteljahres in Kraft.</w:t>
      </w:r>
    </w:p>
    <w:p>
      <w:r>
        <w:rPr>
          <w:color w:val="555555"/>
          <w:sz w:val="17"/>
        </w:rPr>
        <w:t xml:space="preserve">Zitiervorschlag: § 6 BAB-KAbgV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https://recht.nulegal.eu/gesetze/BAB-KAbgV/6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