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BAB-KAbgV — Anwendung der Abgabenordnung</w:t>
      </w:r>
    </w:p>
    <w:p>
      <w:r>
        <w:rPr>
          <w:color w:val="555555"/>
          <w:sz w:val="18"/>
        </w:rPr>
        <w:t xml:space="preserve">BAB-Konzessionsabgabenverordnung</w:t>
      </w:r>
    </w:p>
    <w:p>
      <w:r>
        <w:rPr>
          <w:color w:val="555555"/>
          <w:sz w:val="18"/>
        </w:rPr>
        <w:t xml:space="preserve">Stand: 10.06.2019 (konsolidierte Textfassung, kein amtliches Inkrafttretensdatum)</w:t>
      </w:r>
    </w:p>
    <w:p>
      <w:r>
        <w:t xml:space="preserve">Auf die Konzessionsabgabe sind ergänzend die Vorschriften der Abgabenordnung über die Führung von Büchern und Aufzeichnungen (§§ 140 bis 148), über Steuererklärungen (§§ 149 bis 153), über die Steuerfestsetzung (§§ 155 bis 168), über die Festsetzungsverjährung (§ 169 Abs. 1, 2 Satz 1 Nr. 2, Satz 2 und 3, §§ 170 und 171), über die Bestandskraft (§§ 172 bis 177), über das Erhebungsverfahren (§§ 218 bis 222, 224, 234, 240 bis 248), über die Vollstreckung (§§ 249 bis 346) und des Umsatzsteuergesetzes über Aufzeichnungspflichten (§ 22) sinngemäß anzuwenden.</w:t>
      </w:r>
    </w:p>
    <w:p>
      <w:r>
        <w:rPr>
          <w:color w:val="555555"/>
          <w:sz w:val="17"/>
        </w:rPr>
        <w:t xml:space="preserve">Zitiervorschlag: § 5 BAB-KAbgV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https://recht.nulegal.eu/gesetze/BAB-KAbgV/5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