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BAB-KAbgV — Sicherheitsleistung</w:t>
      </w:r>
    </w:p>
    <w:p>
      <w:r>
        <w:rPr>
          <w:color w:val="555555"/>
          <w:sz w:val="18"/>
        </w:rPr>
        <w:t xml:space="preserve">BAB-Konzessionsabgabenverordnung</w:t>
      </w:r>
    </w:p>
    <w:p>
      <w:r>
        <w:rPr>
          <w:color w:val="555555"/>
          <w:sz w:val="18"/>
        </w:rPr>
        <w:t xml:space="preserve">Stand: 09.03.2023 (konsolidierte Textfassung, kein amtliches Inkrafttretensdatum)</w:t>
      </w:r>
    </w:p>
    <w:p>
      <w:r>
        <w:t xml:space="preserve">Zur Sicherung der Ansprüche auf Zahlung der Konzessionsabgabe kann das Bundesamt für Logistik und Mobilität vom Konzessionsinhaber Sicherheit im Form einer unbefristeten selbstschuldnerischen Bankbürgschaft verlangen. Anstelle der Bürgschaft kann auch eine gleichwertige Sicherheit anderer Art geleistet werden.</w:t>
      </w:r>
    </w:p>
    <w:p>
      <w:r>
        <w:rPr>
          <w:color w:val="555555"/>
          <w:sz w:val="17"/>
        </w:rPr>
        <w:t xml:space="preserve">Zitiervorschlag: § 4 BAB-KAbgV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https://recht.nulegal.eu/gesetze/BAB-KAbgV/4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