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BAAZustV</w:t>
      </w:r>
    </w:p>
    <w:p>
      <w:r>
        <w:rPr>
          <w:color w:val="555555"/>
          <w:sz w:val="18"/>
        </w:rPr>
        <w:t xml:space="preserve">Verordnung zur Übertragung von Zuständigkeiten nach dem Lastenausgleichsgesetz auf das Bundesausgleichsamt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367 Abs. 1 des Lastenausgleichsgesetzes in der Fassung der Bekanntmachung vom 2. Juni 1993 (BGBl. I S. 845, 1995 I S. 248) sowie</w:t>
      </w:r>
    </w:p>
    <w:p>
      <w:pPr>
        <w:ind w:left="420"/>
      </w:pPr>
      <w:r>
        <w:t xml:space="preserve">- des § 312 Abs. 2 Satz 2 des Lastenausgleichsgesetzes, der durch Artikel 2 Nr. 5 des Vermögensrechtsbereinigungsgesetzes vom 20. Oktober 1998 (BGBl. I S. 3180) eingefügt worden ist,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BAAZustV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https://recht.nulegal.eu/gesetze/BAAZustV/eingangsformel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