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BAAZustV</w:t>
      </w:r>
    </w:p>
    <w:p>
      <w:r>
        <w:rPr>
          <w:color w:val="555555"/>
          <w:sz w:val="18"/>
        </w:rPr>
        <w:t xml:space="preserve">Verordnung zur Übertragung von Zuständigkeiten nach dem Lastenausgleichsgesetz auf das Bundesausgleichsamt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zur Erteilung einheitlicher Bescheide nach § 335b Absatz 1, § 349 Absatz 3 Satz 3 des Lastenausgleichsgesetzes über die Höhe des Schadensausgleichs bei Beteiligungen wird auf das Bundesausgleichsamt übertragen; bei Schäden einer Personengesellschaft des Handelsrechts gilt dies nur, soweit die Ausgleichsverwaltung nach dem 30. Juni 2009 Kenntnis vom Rückforderungstatbestand erlangt hat.</w:t>
      </w:r>
    </w:p>
    <w:p>
      <w:r>
        <w:rPr>
          <w:color w:val="555555"/>
          <w:sz w:val="17"/>
        </w:rPr>
        <w:t xml:space="preserve">Zitiervorschlag: § 2 BAAZustV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https://recht.nulegal.eu/gesetze/BAAZustV/2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