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BürstPiMstrV 2021 — Ziel und Gliederung der Prüfung in Teil II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besonderen fachtheoretischen Kenntnisse im Bürsten- und Pinselmacher-Gewerbe zur Lösung komplexer beruflicher Aufgaben anwendet. Grundlage für den Nachweis bilden die Qualifikationen in den folgenden Handlungsfeldern:</w:t>
      </w:r>
    </w:p>
    <w:p>
      <w:pPr>
        <w:ind w:left="420"/>
      </w:pPr>
      <w:r>
        <w:t xml:space="preserve">1. nach Maßgabe des § 8 „Anforderungen von Kunden eines Bürsten- und Pinselmacher-Betriebs analysieren, Lösungen erarbeiten und anbieten“,</w:t>
      </w:r>
    </w:p>
    <w:p>
      <w:pPr>
        <w:ind w:left="420"/>
      </w:pPr>
      <w:r>
        <w:t xml:space="preserve">2. nach Maßgabe des § 9 „Produkte eines Bürsten- und Pinselmacher-Betriebs herstellen, kontrollieren und übergeben“ und</w:t>
      </w:r>
    </w:p>
    <w:p>
      <w:pPr>
        <w:ind w:left="420"/>
      </w:pPr>
      <w:r>
        <w:t xml:space="preserve">3. nach Maßgabe des § 10 „Einen Bürsten- und Pinselmacher-Betrieb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7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