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BürstPiMstrV 2021 — Gewichtung; Bestehen der Prüfung in Teil I</w:t>
      </w:r>
    </w:p>
    <w:p>
      <w:r>
        <w:rPr>
          <w:color w:val="555555"/>
          <w:sz w:val="18"/>
        </w:rPr>
        <w:t xml:space="preserve">Bürsten- und Pinselmachermeisterverordnung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Das Meisterprüfungsprojekt und das Fachgespräch werden gesondert bewertet. Für das Gesamtergebnis der Prüfung in Teil I der Meisterprüfung ist die Bewertung des Meisterprüfungsprojekts und die Bewertung des Fachgesprächs im Verhältnis 3:1 zu gewichten.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 und das Fachgespräch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6 BürstPiMstrV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https://recht.nulegal.eu/gesetze/B%C3%BCrstPiMstrV%202021/6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