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 BürstPiMstrV 2021 — Ziel und Gliederung der Prüfung in Teil I</w:t>
      </w:r>
    </w:p>
    <w:p>
      <w:r>
        <w:rPr>
          <w:color w:val="555555"/>
          <w:sz w:val="18"/>
        </w:rPr>
        <w:t xml:space="preserve">Bürsten- und Pinselmachermeisterverordnung</w:t>
      </w:r>
    </w:p>
    <w:p>
      <w:r>
        <w:rPr>
          <w:color w:val="555555"/>
          <w:sz w:val="18"/>
        </w:rPr>
        <w:t xml:space="preserve">Stand: 01.01.2021 (konsolidierte Textfassung, kein amtliches Inkrafttretensdatum)</w:t>
      </w:r>
    </w:p>
    <w:p>
      <w:r>
        <w:t xml:space="preserve">(1) In der Prüfung in Teil I hat der Prüfling umfängliche und zusammenhängende berufliche Aufgaben zu lösen und dabei nachzuweisen, dass er Tätigkeiten des Bürsten- und Pinselmacher-Gewerbes meisterhaft verrichtet.</w:t>
      </w:r>
    </w:p>
    <w:p>
      <w:r>
        <w:t xml:space="preserve">(2) Die Prüfung in Teil I gliedert sich in ein Meisterprüfungsprojekt nach § 4 und ein darauf bezogenes Fachgespräch nach § 5. Das Meisterprüfungsprojekt und das Fachgespräch bilden einen Prüfungsbereich.</w:t>
      </w:r>
    </w:p>
    <w:p>
      <w:r>
        <w:rPr>
          <w:color w:val="555555"/>
          <w:sz w:val="17"/>
        </w:rPr>
        <w:t xml:space="preserve">Zitiervorschlag: § 3 BürstPiMstrV 2021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https://recht.nulegal.eu/gesetze/B%C3%BCrstPiMstrV%202021/3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