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BürgEnG (Nordrhein-Westfalen) — Beteiligungsberechtigte Gemeinden</w:t>
      </w:r>
    </w:p>
    <w:p>
      <w:r>
        <w:rPr>
          <w:color w:val="555555"/>
          <w:sz w:val="18"/>
        </w:rPr>
        <w:t xml:space="preserve">Bürgerenergiegesetz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Beteiligungsberechtigt sind alle Gemeinden im Sinne des § 6 Absatz 2 Satz 2 des Erneuerbare-Energien-Gesetzes.</w:t>
      </w:r>
    </w:p>
    <w:p>
      <w:r>
        <w:rPr>
          <w:color w:val="555555"/>
          <w:sz w:val="17"/>
        </w:rPr>
        <w:t xml:space="preserve">Zitiervorschlag: § 6 BürgEnG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https://recht.nulegal.eu/gesetze/B%C3%BCrgEnG/6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