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BürgEnG (Nordrhein-Westfalen) — Begriffsbestimmung</w:t>
      </w:r>
    </w:p>
    <w:p>
      <w:r>
        <w:rPr>
          <w:color w:val="555555"/>
          <w:sz w:val="18"/>
        </w:rPr>
        <w:t xml:space="preserve">Bürgerenergiegesetz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Rahmen dieses Gesetzes gelten folgende Begriffsbestimmungen:</w:t>
      </w:r>
    </w:p>
    <w:p>
      <w:r>
        <w:t xml:space="preserve">(1) Vorhabenträger ist derjenige, der beabsichtigt, Windenergieanlagen nach § 2 Absatz 1 zu errichten und die dafür erforderliche immissionsschutzrechtliche Genehmigung beantragt, sowie dessen Rechtsnachfolger; nach Errichtung und Inbetriebnahme der Windenergieanlagen ist Vorhabenträger der Betreiber der Windenergieanlagen, mithin auch jeder Erwerber des Vorhabens oder einzelner dazugehöriger Windenergieanlagen und dessen Rechtsnachfolger.</w:t>
      </w:r>
    </w:p>
    <w:p>
      <w:r>
        <w:t xml:space="preserve">(2) Vorhaben ist die Gesamtheit aller Windenergieanlagen, für die von einem Vorhabenträger im räumlichen und zeitlichen Zusammenhang immissionsschutzrechtliche Genehmigungen zur Errichtung und zum Betrieb beantragt werden.</w:t>
      </w:r>
    </w:p>
    <w:p>
      <w:r>
        <w:t xml:space="preserve">(3) Offerte ist die Aufforderung zur Abgabe eines verbindlichen Vertragsangebots.</w:t>
      </w:r>
    </w:p>
    <w:p>
      <w:r>
        <w:t xml:space="preserve">(4) Beteiligungsentwurf ist der vom Vorhabenträger zu entwerfende Vorschlag für eine Beteiligungsvereinbarung.</w:t>
      </w:r>
    </w:p>
    <w:p>
      <w:r>
        <w:t xml:space="preserve">(5) Beteiligungsvereinbarung ist das vom Vorhabenträger und den Standortgemeinden verabschiedete Konzept über die finanzielle Beteiligung der nach den §§ 5 und 6 Berechtigten.</w:t>
      </w:r>
    </w:p>
    <w:p>
      <w:r>
        <w:t xml:space="preserve">(6) Standortgemeinden sind alle Gemeinden, auf deren Gemeindegebiet sich zumindest eine Windenergieanlage eines Vorhabens befinden.</w:t>
      </w:r>
    </w:p>
    <w:p>
      <w:r>
        <w:t xml:space="preserve">(7) Zuständige Behörde ist die Behörde nach § 12 Absatz 1.</w:t>
      </w:r>
    </w:p>
    <w:p>
      <w:r>
        <w:rPr>
          <w:color w:val="555555"/>
          <w:sz w:val="17"/>
        </w:rPr>
        <w:t xml:space="preserve">Zitiervorschlag: § 3 BürgEnG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https://recht.nulegal.eu/gesetze/B%C3%BCrgEnG/3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