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BürgEnG (Nordrhein-Westfalen) — Inkrafttreten, Berichtspflicht</w:t>
      </w:r>
    </w:p>
    <w:p>
      <w:r>
        <w:rPr>
          <w:color w:val="555555"/>
          <w:sz w:val="18"/>
        </w:rPr>
        <w:t xml:space="preserve">Bürgerenergiegesetz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rPr>
          <w:color w:val="555555"/>
          <w:sz w:val="17"/>
        </w:rPr>
        <w:t xml:space="preserve">Zitiervorschlag: § 14 BürgEnG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https://recht.nulegal.eu/gesetze/B%C3%BCrgEnG/14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